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7385FAC0"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w:t>
                            </w:r>
                            <w:r w:rsidR="00BB2E73">
                              <w:rPr>
                                <w:b/>
                                <w:color w:val="000000" w:themeColor="text1"/>
                              </w:rPr>
                              <w:t>6</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7385FAC0"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w:t>
                      </w:r>
                      <w:r w:rsidR="00BB2E73">
                        <w:rPr>
                          <w:b/>
                          <w:color w:val="000000" w:themeColor="text1"/>
                        </w:rPr>
                        <w:t>6</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455D2286"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7C5234">
        <w:rPr>
          <w:rFonts w:ascii="Arial" w:hAnsi="Arial" w:cs="Arial"/>
          <w:b/>
          <w:color w:val="FF0000"/>
          <w:sz w:val="20"/>
          <w:szCs w:val="20"/>
        </w:rPr>
        <w:t>MEDICAMENTO DE LA LINAME</w:t>
      </w:r>
    </w:p>
    <w:p w14:paraId="03F7367A" w14:textId="5145330A"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7D726E">
        <w:rPr>
          <w:rFonts w:ascii="Arial" w:hAnsi="Arial" w:cs="Arial"/>
          <w:b/>
          <w:color w:val="FF0000"/>
          <w:sz w:val="20"/>
          <w:szCs w:val="20"/>
        </w:rPr>
        <w:t>0</w:t>
      </w:r>
      <w:r w:rsidR="00BB2E73">
        <w:rPr>
          <w:rFonts w:ascii="Arial" w:hAnsi="Arial" w:cs="Arial"/>
          <w:b/>
          <w:color w:val="FF0000"/>
          <w:sz w:val="20"/>
          <w:szCs w:val="20"/>
        </w:rPr>
        <w:t>6</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5C0A12AE"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7C5234">
        <w:rPr>
          <w:rFonts w:asciiTheme="minorHAnsi" w:hAnsiTheme="minorHAnsi" w:cstheme="minorHAnsi"/>
          <w:color w:val="FF0000"/>
          <w:sz w:val="20"/>
          <w:lang w:val="es-ES"/>
        </w:rPr>
        <w:t>MEDICAMENTO DE LA LINAME</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430415BC"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7C5234">
        <w:rPr>
          <w:rFonts w:cstheme="minorHAnsi"/>
          <w:sz w:val="20"/>
          <w:szCs w:val="20"/>
        </w:rPr>
        <w:t>5</w:t>
      </w:r>
      <w:r w:rsidR="00265BCD" w:rsidRPr="00A56959">
        <w:rPr>
          <w:rFonts w:cstheme="minorHAnsi"/>
          <w:sz w:val="20"/>
          <w:szCs w:val="20"/>
        </w:rPr>
        <w:t xml:space="preserve">:00, del día </w:t>
      </w:r>
      <w:r w:rsidR="007C5234" w:rsidRPr="007C5234">
        <w:rPr>
          <w:rFonts w:cstheme="minorHAnsi"/>
          <w:b/>
          <w:bCs/>
          <w:color w:val="FF0000"/>
          <w:sz w:val="20"/>
          <w:szCs w:val="20"/>
        </w:rPr>
        <w:t>m</w:t>
      </w:r>
      <w:r w:rsidR="007C5234">
        <w:rPr>
          <w:rFonts w:cstheme="minorHAnsi"/>
          <w:b/>
          <w:bCs/>
          <w:color w:val="FF0000"/>
          <w:sz w:val="20"/>
          <w:szCs w:val="20"/>
        </w:rPr>
        <w:t>artes</w:t>
      </w:r>
      <w:r w:rsidR="007D726E">
        <w:rPr>
          <w:rFonts w:cstheme="minorHAnsi"/>
          <w:b/>
          <w:bCs/>
          <w:color w:val="FF0000"/>
          <w:sz w:val="20"/>
          <w:szCs w:val="20"/>
        </w:rPr>
        <w:t xml:space="preserve"> </w:t>
      </w:r>
      <w:r w:rsidR="00BB2E73">
        <w:rPr>
          <w:rFonts w:cstheme="minorHAnsi"/>
          <w:b/>
          <w:bCs/>
          <w:color w:val="FF0000"/>
          <w:sz w:val="20"/>
          <w:szCs w:val="20"/>
        </w:rPr>
        <w:t>25</w:t>
      </w:r>
      <w:r w:rsidR="00D455D6">
        <w:rPr>
          <w:rFonts w:cstheme="minorHAnsi"/>
          <w:b/>
          <w:bCs/>
          <w:color w:val="FF0000"/>
          <w:sz w:val="20"/>
          <w:szCs w:val="20"/>
        </w:rPr>
        <w:t xml:space="preserve"> </w:t>
      </w:r>
      <w:r w:rsidR="007D726E">
        <w:rPr>
          <w:rFonts w:cstheme="minorHAnsi"/>
          <w:b/>
          <w:bCs/>
          <w:color w:val="FF0000"/>
          <w:sz w:val="20"/>
          <w:szCs w:val="20"/>
        </w:rPr>
        <w:t xml:space="preserve">de </w:t>
      </w:r>
      <w:r w:rsidR="00D455D6">
        <w:rPr>
          <w:rFonts w:cstheme="minorHAnsi"/>
          <w:b/>
          <w:bCs/>
          <w:color w:val="FF0000"/>
          <w:sz w:val="20"/>
          <w:szCs w:val="20"/>
        </w:rPr>
        <w:t>f</w:t>
      </w:r>
      <w:r w:rsidR="007D726E">
        <w:rPr>
          <w:rFonts w:cstheme="minorHAnsi"/>
          <w:b/>
          <w:bCs/>
          <w:color w:val="FF0000"/>
          <w:sz w:val="20"/>
          <w:szCs w:val="20"/>
        </w:rPr>
        <w:t>e</w:t>
      </w:r>
      <w:r w:rsidR="00D455D6">
        <w:rPr>
          <w:rFonts w:cstheme="minorHAnsi"/>
          <w:b/>
          <w:bCs/>
          <w:color w:val="FF0000"/>
          <w:sz w:val="20"/>
          <w:szCs w:val="20"/>
        </w:rPr>
        <w:t>bre</w:t>
      </w:r>
      <w:r w:rsidR="007D726E">
        <w:rPr>
          <w:rFonts w:cstheme="minorHAnsi"/>
          <w:b/>
          <w:bCs/>
          <w:color w:val="FF0000"/>
          <w:sz w:val="20"/>
          <w:szCs w:val="20"/>
        </w:rPr>
        <w:t>ro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BB2E73" w:rsidRPr="00CE10C7">
          <w:rPr>
            <w:rStyle w:val="Hipervnculo"/>
            <w:rFonts w:cstheme="minorHAnsi"/>
            <w:sz w:val="20"/>
            <w:szCs w:val="20"/>
          </w:rPr>
          <w:t>claudia.dominguez@csbp.com.bo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192FD643" w:rsidR="00265BCD" w:rsidRPr="00A56959" w:rsidRDefault="00265BCD" w:rsidP="00265BCD">
      <w:pPr>
        <w:jc w:val="center"/>
        <w:rPr>
          <w:rFonts w:cstheme="minorHAnsi"/>
          <w:b/>
          <w:bCs/>
        </w:rPr>
      </w:pPr>
      <w:r w:rsidRPr="00A56959">
        <w:rPr>
          <w:rFonts w:cstheme="minorHAnsi"/>
          <w:b/>
          <w:bCs/>
        </w:rPr>
        <w:t>“SC-CP-</w:t>
      </w:r>
      <w:r w:rsidR="007D726E">
        <w:rPr>
          <w:rFonts w:cstheme="minorHAnsi"/>
          <w:b/>
          <w:bCs/>
        </w:rPr>
        <w:t>0</w:t>
      </w:r>
      <w:r w:rsidR="00BB2E73">
        <w:rPr>
          <w:rFonts w:cstheme="minorHAnsi"/>
          <w:b/>
          <w:bCs/>
        </w:rPr>
        <w:t>6</w:t>
      </w:r>
      <w:r w:rsidR="007D726E">
        <w:rPr>
          <w:rFonts w:cstheme="minorHAnsi"/>
          <w:b/>
          <w:bCs/>
        </w:rPr>
        <w:t>-2025</w:t>
      </w:r>
      <w:r w:rsidRPr="00A56959">
        <w:rPr>
          <w:rFonts w:cstheme="minorHAnsi"/>
          <w:b/>
          <w:bCs/>
        </w:rPr>
        <w:t xml:space="preserve"> </w:t>
      </w:r>
      <w:r w:rsidRPr="00A56959">
        <w:rPr>
          <w:rFonts w:cstheme="minorHAnsi"/>
          <w:b/>
        </w:rPr>
        <w:t xml:space="preserve">COMPRA DE </w:t>
      </w:r>
      <w:r w:rsidR="007C5234">
        <w:rPr>
          <w:rFonts w:cstheme="minorHAnsi"/>
          <w:b/>
        </w:rPr>
        <w:t>MEDICAMENTO DE LA LINAME</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31C60C60"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0E737"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7C5234">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11109946" w:rsidR="00D455D6" w:rsidRP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10ADE051"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30745591" w14:textId="77777777" w:rsidR="00D455D6" w:rsidRPr="00D455D6" w:rsidRDefault="00D455D6" w:rsidP="00D455D6">
      <w:pPr>
        <w:pStyle w:val="Prrafodelista"/>
        <w:ind w:left="426"/>
        <w:rPr>
          <w:rFonts w:cstheme="minorHAnsi"/>
          <w:sz w:val="14"/>
          <w:szCs w:val="14"/>
        </w:rPr>
      </w:pPr>
    </w:p>
    <w:p w14:paraId="4B8A2F93" w14:textId="369FE139"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del servicio en forma inmediata.</w:t>
      </w:r>
    </w:p>
    <w:p w14:paraId="17106FEB" w14:textId="77777777" w:rsidR="00402D1D" w:rsidRPr="00D455D6" w:rsidRDefault="00402D1D" w:rsidP="00402D1D">
      <w:pPr>
        <w:pStyle w:val="Prrafodelista"/>
        <w:rPr>
          <w:rFonts w:cstheme="minorHAnsi"/>
          <w:b/>
          <w:bCs/>
          <w:sz w:val="14"/>
          <w:szCs w:val="14"/>
          <w:u w:val="single"/>
        </w:rPr>
      </w:pPr>
    </w:p>
    <w:p w14:paraId="210E04F1" w14:textId="49EC950B" w:rsidR="00402D1D" w:rsidRPr="00710F07" w:rsidRDefault="00402D1D" w:rsidP="00402D1D">
      <w:pPr>
        <w:pStyle w:val="Prrafodelista"/>
        <w:numPr>
          <w:ilvl w:val="0"/>
          <w:numId w:val="1"/>
        </w:numPr>
        <w:ind w:left="426"/>
        <w:rPr>
          <w:rFonts w:cstheme="minorHAnsi"/>
          <w:b/>
          <w:color w:val="FF0000"/>
          <w:u w:val="single"/>
        </w:rPr>
      </w:pPr>
      <w:r w:rsidRPr="00710F07">
        <w:rPr>
          <w:rFonts w:cstheme="minorHAnsi"/>
          <w:b/>
          <w:bCs/>
          <w:u w:val="single"/>
        </w:rPr>
        <w:t xml:space="preserve">SUPERVICION DE LA RECEPCION: </w:t>
      </w:r>
      <w:r w:rsidRPr="00710F07">
        <w:rPr>
          <w:rFonts w:cstheme="minorHAnsi"/>
        </w:rPr>
        <w:t xml:space="preserve">La recepción del bien será supervisado por la comisión de recepción, los mismos deben verificar el cumplimiento de las </w:t>
      </w:r>
      <w:r w:rsidRPr="00710F07">
        <w:rPr>
          <w:rFonts w:cstheme="minorHAnsi"/>
          <w:color w:val="FF0000"/>
        </w:rPr>
        <w:t>Especificaciones Técnicas</w:t>
      </w:r>
      <w:r w:rsidR="00186D11" w:rsidRPr="00710F07">
        <w:rPr>
          <w:rFonts w:cstheme="minorHAnsi"/>
          <w:color w:val="FF0000"/>
        </w:rPr>
        <w:t>/ términos de referencia</w:t>
      </w:r>
      <w:r w:rsidRPr="00710F07">
        <w:rPr>
          <w:rFonts w:cstheme="minorHAnsi"/>
          <w:color w:val="FF0000"/>
        </w:rPr>
        <w:t>.</w:t>
      </w:r>
    </w:p>
    <w:p w14:paraId="2FF4012F" w14:textId="77777777" w:rsidR="0084268D" w:rsidRPr="00D455D6" w:rsidRDefault="0084268D" w:rsidP="0084268D">
      <w:pPr>
        <w:pStyle w:val="Prrafodelista"/>
        <w:rPr>
          <w:rFonts w:cstheme="minorHAnsi"/>
          <w:b/>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lastRenderedPageBreak/>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shd w:val="clear" w:color="auto" w:fill="auto"/>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shd w:val="clear" w:color="auto" w:fill="auto"/>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shd w:val="clear" w:color="auto" w:fill="auto"/>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shd w:val="clear" w:color="auto" w:fill="auto"/>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5176304A" w14:textId="2B8AFAD0" w:rsidR="007D726E" w:rsidRPr="00A56959" w:rsidRDefault="00BB2E73" w:rsidP="008B4E20">
            <w:pPr>
              <w:jc w:val="center"/>
              <w:rPr>
                <w:rFonts w:cstheme="minorHAnsi"/>
                <w:sz w:val="18"/>
                <w:szCs w:val="20"/>
              </w:rPr>
            </w:pPr>
            <w:r>
              <w:rPr>
                <w:rFonts w:cstheme="minorHAnsi"/>
                <w:sz w:val="18"/>
                <w:szCs w:val="20"/>
              </w:rPr>
              <w:t>25</w:t>
            </w:r>
            <w:r w:rsidR="007D726E">
              <w:rPr>
                <w:rFonts w:cstheme="minorHAnsi"/>
                <w:sz w:val="18"/>
                <w:szCs w:val="20"/>
              </w:rPr>
              <w:t>/0</w:t>
            </w:r>
            <w:r w:rsidR="00D455D6">
              <w:rPr>
                <w:rFonts w:cstheme="minorHAnsi"/>
                <w:sz w:val="18"/>
                <w:szCs w:val="20"/>
              </w:rPr>
              <w:t>2</w:t>
            </w:r>
            <w:r w:rsidR="007D726E">
              <w:rPr>
                <w:rFonts w:cstheme="minorHAnsi"/>
                <w:sz w:val="18"/>
                <w:szCs w:val="20"/>
              </w:rPr>
              <w:t>/2025</w:t>
            </w:r>
          </w:p>
        </w:tc>
        <w:tc>
          <w:tcPr>
            <w:tcW w:w="1276" w:type="dxa"/>
            <w:shd w:val="clear" w:color="auto" w:fill="auto"/>
            <w:vAlign w:val="center"/>
          </w:tcPr>
          <w:p w14:paraId="3E275C4D" w14:textId="77777777" w:rsidR="007D726E" w:rsidRPr="00A56959" w:rsidRDefault="007D726E" w:rsidP="008B4E20">
            <w:pPr>
              <w:jc w:val="center"/>
              <w:rPr>
                <w:rFonts w:cstheme="minorHAnsi"/>
                <w:sz w:val="18"/>
                <w:szCs w:val="20"/>
              </w:rPr>
            </w:pPr>
            <w:r>
              <w:rPr>
                <w:rFonts w:cstheme="minorHAnsi"/>
                <w:sz w:val="18"/>
                <w:szCs w:val="20"/>
              </w:rPr>
              <w:t>10</w:t>
            </w:r>
            <w:r w:rsidRPr="00A56959">
              <w:rPr>
                <w:rFonts w:cstheme="minorHAnsi"/>
                <w:sz w:val="18"/>
                <w:szCs w:val="20"/>
              </w:rPr>
              <w:t>:00</w:t>
            </w:r>
          </w:p>
        </w:tc>
        <w:tc>
          <w:tcPr>
            <w:tcW w:w="3566" w:type="dxa"/>
            <w:shd w:val="clear" w:color="auto" w:fill="auto"/>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shd w:val="clear" w:color="auto" w:fill="auto"/>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shd w:val="clear" w:color="auto" w:fill="auto"/>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509CFDB7" w:rsidR="007D726E" w:rsidRPr="00A56959" w:rsidRDefault="00BB2E73" w:rsidP="008B4E20">
            <w:pPr>
              <w:jc w:val="center"/>
              <w:rPr>
                <w:rFonts w:cstheme="minorHAnsi"/>
                <w:sz w:val="18"/>
                <w:szCs w:val="20"/>
              </w:rPr>
            </w:pPr>
            <w:r>
              <w:rPr>
                <w:rFonts w:cstheme="minorHAnsi"/>
                <w:color w:val="FF0000"/>
                <w:sz w:val="18"/>
                <w:szCs w:val="20"/>
              </w:rPr>
              <w:t>25</w:t>
            </w:r>
            <w:r w:rsidR="007D726E">
              <w:rPr>
                <w:rFonts w:cstheme="minorHAnsi"/>
                <w:color w:val="FF0000"/>
                <w:sz w:val="18"/>
                <w:szCs w:val="20"/>
              </w:rPr>
              <w:t>/0</w:t>
            </w:r>
            <w:r w:rsidR="00D455D6">
              <w:rPr>
                <w:rFonts w:cstheme="minorHAnsi"/>
                <w:color w:val="FF0000"/>
                <w:sz w:val="18"/>
                <w:szCs w:val="20"/>
              </w:rPr>
              <w:t>2</w:t>
            </w:r>
            <w:r w:rsidR="007D726E">
              <w:rPr>
                <w:rFonts w:cstheme="minorHAnsi"/>
                <w:color w:val="FF0000"/>
                <w:sz w:val="18"/>
                <w:szCs w:val="20"/>
              </w:rPr>
              <w:t>/2025</w:t>
            </w:r>
          </w:p>
        </w:tc>
        <w:tc>
          <w:tcPr>
            <w:tcW w:w="1276" w:type="dxa"/>
            <w:shd w:val="clear" w:color="auto" w:fill="auto"/>
            <w:vAlign w:val="center"/>
          </w:tcPr>
          <w:p w14:paraId="4AEA38FD" w14:textId="6C7FAEC2" w:rsidR="007D726E" w:rsidRPr="00A56959" w:rsidRDefault="007D726E" w:rsidP="008B4E20">
            <w:pPr>
              <w:jc w:val="center"/>
              <w:rPr>
                <w:rFonts w:cstheme="minorHAnsi"/>
                <w:sz w:val="18"/>
                <w:szCs w:val="20"/>
              </w:rPr>
            </w:pPr>
            <w:r w:rsidRPr="00A56959">
              <w:rPr>
                <w:rFonts w:cstheme="minorHAnsi"/>
                <w:color w:val="FF0000"/>
                <w:sz w:val="18"/>
                <w:szCs w:val="20"/>
              </w:rPr>
              <w:t>1</w:t>
            </w:r>
            <w:r w:rsidR="007C5234">
              <w:rPr>
                <w:rFonts w:cstheme="minorHAnsi"/>
                <w:color w:val="FF0000"/>
                <w:sz w:val="18"/>
                <w:szCs w:val="20"/>
              </w:rPr>
              <w:t>5</w:t>
            </w:r>
            <w:r>
              <w:rPr>
                <w:rFonts w:cstheme="minorHAnsi"/>
                <w:color w:val="FF0000"/>
                <w:sz w:val="18"/>
                <w:szCs w:val="20"/>
              </w:rPr>
              <w:t>:00</w:t>
            </w:r>
            <w:r w:rsidRPr="00A56959">
              <w:rPr>
                <w:rFonts w:cstheme="minorHAnsi"/>
                <w:color w:val="FF0000"/>
                <w:sz w:val="18"/>
                <w:szCs w:val="20"/>
              </w:rPr>
              <w:t xml:space="preserve"> PM</w:t>
            </w:r>
          </w:p>
        </w:tc>
        <w:tc>
          <w:tcPr>
            <w:tcW w:w="3566" w:type="dxa"/>
            <w:shd w:val="clear" w:color="auto" w:fill="auto"/>
            <w:vAlign w:val="center"/>
          </w:tcPr>
          <w:p w14:paraId="16992498" w14:textId="57216955"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BB2E73" w:rsidRPr="00CE10C7">
                <w:rPr>
                  <w:rStyle w:val="Hipervnculo"/>
                  <w:rFonts w:cstheme="minorHAnsi"/>
                </w:rPr>
                <w:t>claudia.dominguez@csbp.com.bo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shd w:val="clear" w:color="auto" w:fill="auto"/>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shd w:val="clear" w:color="auto" w:fill="auto"/>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D496915" w14:textId="4A0AC0C4" w:rsidR="007D726E" w:rsidRPr="00A56959" w:rsidRDefault="00BB2E73" w:rsidP="008B4E20">
            <w:pPr>
              <w:jc w:val="center"/>
              <w:rPr>
                <w:rFonts w:cstheme="minorHAnsi"/>
                <w:sz w:val="18"/>
                <w:szCs w:val="20"/>
              </w:rPr>
            </w:pPr>
            <w:r>
              <w:rPr>
                <w:rFonts w:cstheme="minorHAnsi"/>
                <w:color w:val="FF0000"/>
                <w:sz w:val="18"/>
                <w:szCs w:val="20"/>
              </w:rPr>
              <w:t>25</w:t>
            </w:r>
            <w:r w:rsidR="007D726E">
              <w:rPr>
                <w:rFonts w:cstheme="minorHAnsi"/>
                <w:color w:val="FF0000"/>
                <w:sz w:val="18"/>
                <w:szCs w:val="20"/>
              </w:rPr>
              <w:t>/0</w:t>
            </w:r>
            <w:r w:rsidR="00D455D6">
              <w:rPr>
                <w:rFonts w:cstheme="minorHAnsi"/>
                <w:color w:val="FF0000"/>
                <w:sz w:val="18"/>
                <w:szCs w:val="20"/>
              </w:rPr>
              <w:t>2</w:t>
            </w:r>
            <w:r w:rsidR="007D726E">
              <w:rPr>
                <w:rFonts w:cstheme="minorHAnsi"/>
                <w:color w:val="FF0000"/>
                <w:sz w:val="18"/>
                <w:szCs w:val="20"/>
              </w:rPr>
              <w:t>/2025</w:t>
            </w:r>
          </w:p>
        </w:tc>
        <w:tc>
          <w:tcPr>
            <w:tcW w:w="1276" w:type="dxa"/>
            <w:shd w:val="clear" w:color="auto" w:fill="auto"/>
            <w:vAlign w:val="center"/>
          </w:tcPr>
          <w:p w14:paraId="74512477" w14:textId="79D1BAFF" w:rsidR="007D726E" w:rsidRPr="00A56959" w:rsidRDefault="007D726E" w:rsidP="008B4E20">
            <w:pPr>
              <w:jc w:val="center"/>
              <w:rPr>
                <w:rFonts w:cstheme="minorHAnsi"/>
                <w:sz w:val="18"/>
                <w:szCs w:val="20"/>
              </w:rPr>
            </w:pPr>
            <w:r w:rsidRPr="00A56959">
              <w:rPr>
                <w:rFonts w:cstheme="minorHAnsi"/>
                <w:color w:val="FF0000"/>
                <w:sz w:val="18"/>
                <w:szCs w:val="20"/>
              </w:rPr>
              <w:t>1</w:t>
            </w:r>
            <w:r w:rsidR="007C5234">
              <w:rPr>
                <w:rFonts w:cstheme="minorHAnsi"/>
                <w:color w:val="FF0000"/>
                <w:sz w:val="18"/>
                <w:szCs w:val="20"/>
              </w:rPr>
              <w:t>5</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shd w:val="clear" w:color="auto" w:fill="auto"/>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12D2EF37" w14:textId="191A14FB" w:rsidR="00BB2E73" w:rsidRDefault="00BB2E73" w:rsidP="008B4E20">
            <w:pPr>
              <w:shd w:val="clear" w:color="auto" w:fill="FFFFFF"/>
              <w:rPr>
                <w:color w:val="0000FF"/>
                <w:sz w:val="18"/>
                <w:szCs w:val="18"/>
                <w:u w:val="single"/>
              </w:rPr>
            </w:pPr>
            <w:hyperlink r:id="rId9" w:history="1">
              <w:r w:rsidRPr="00CE10C7">
                <w:rPr>
                  <w:rStyle w:val="Hipervnculo"/>
                  <w:sz w:val="18"/>
                  <w:szCs w:val="18"/>
                </w:rPr>
                <w:t>https://us04web.zoom.us/j/77004766557?pwd=l0OWMDbcWuGFLzMDTbfHkqu99jIhQB.1</w:t>
              </w:r>
            </w:hyperlink>
            <w:bookmarkStart w:id="0" w:name="_Hlk179204601"/>
          </w:p>
          <w:p w14:paraId="026F9FDD" w14:textId="22D4FE80" w:rsidR="00EB3807" w:rsidRDefault="007D726E" w:rsidP="008B4E20">
            <w:pPr>
              <w:shd w:val="clear" w:color="auto" w:fill="FFFFFF"/>
              <w:rPr>
                <w:rFonts w:cstheme="minorHAnsi"/>
                <w:color w:val="232333"/>
                <w:spacing w:val="6"/>
                <w:sz w:val="18"/>
                <w:szCs w:val="18"/>
                <w:shd w:val="clear" w:color="auto" w:fill="FFFFFF"/>
              </w:rPr>
            </w:pPr>
            <w:r>
              <w:rPr>
                <w:rFonts w:cstheme="minorHAnsi"/>
                <w:bCs/>
                <w:sz w:val="16"/>
                <w:szCs w:val="16"/>
              </w:rPr>
              <w:t xml:space="preserve">ID de reunión: </w:t>
            </w:r>
            <w:r>
              <w:t xml:space="preserve">  </w:t>
            </w:r>
            <w:bookmarkEnd w:id="0"/>
            <w:r w:rsidR="0048204C">
              <w:t xml:space="preserve"> </w:t>
            </w:r>
            <w:r w:rsidR="00BB2E73">
              <w:t xml:space="preserve"> </w:t>
            </w:r>
            <w:r w:rsidR="00BB2E73" w:rsidRPr="00BB2E73">
              <w:rPr>
                <w:rFonts w:cstheme="minorHAnsi"/>
                <w:color w:val="232333"/>
                <w:spacing w:val="6"/>
                <w:sz w:val="18"/>
                <w:szCs w:val="18"/>
                <w:shd w:val="clear" w:color="auto" w:fill="FFFFFF"/>
              </w:rPr>
              <w:t>770 0476 6557</w:t>
            </w:r>
            <w:bookmarkStart w:id="1" w:name="_Hlk179204619"/>
          </w:p>
          <w:p w14:paraId="14FAC6B5" w14:textId="1157FD57" w:rsidR="007D726E" w:rsidRPr="00AF40F6" w:rsidRDefault="007D726E" w:rsidP="008B4E20">
            <w:pPr>
              <w:shd w:val="clear" w:color="auto" w:fill="FFFFFF"/>
              <w:rPr>
                <w:rFonts w:ascii="Helvetica" w:eastAsia="Times New Roman" w:hAnsi="Helvetica" w:cs="Helvetica"/>
                <w:color w:val="232333"/>
                <w:spacing w:val="6"/>
                <w:sz w:val="18"/>
                <w:szCs w:val="18"/>
                <w:lang w:eastAsia="es-ES"/>
              </w:rPr>
            </w:pPr>
            <w:r>
              <w:rPr>
                <w:rFonts w:cstheme="minorHAnsi"/>
                <w:bCs/>
                <w:sz w:val="16"/>
                <w:szCs w:val="16"/>
              </w:rPr>
              <w:t xml:space="preserve">Código </w:t>
            </w:r>
            <w:r w:rsidRPr="00854A68">
              <w:rPr>
                <w:rFonts w:cstheme="minorHAnsi"/>
                <w:bCs/>
                <w:sz w:val="16"/>
                <w:szCs w:val="16"/>
              </w:rPr>
              <w:t xml:space="preserve">de Acceso: </w:t>
            </w:r>
            <w:r w:rsidRPr="00854A68">
              <w:t xml:space="preserve">  </w:t>
            </w:r>
            <w:r w:rsidR="0048204C" w:rsidRPr="0048204C">
              <w:rPr>
                <w:rFonts w:ascii="Helvetica" w:hAnsi="Helvetica" w:cs="Helvetica"/>
                <w:color w:val="232333"/>
                <w:spacing w:val="6"/>
                <w:sz w:val="21"/>
                <w:szCs w:val="21"/>
                <w:shd w:val="clear" w:color="auto" w:fill="FFFFFF"/>
              </w:rPr>
              <w:t xml:space="preserve"> </w:t>
            </w:r>
            <w:r w:rsidR="00BB2E73">
              <w:t xml:space="preserve"> </w:t>
            </w:r>
            <w:r w:rsidR="00BB2E73" w:rsidRPr="00BB2E73">
              <w:rPr>
                <w:rFonts w:cstheme="minorHAnsi"/>
                <w:color w:val="232333"/>
                <w:spacing w:val="6"/>
                <w:sz w:val="18"/>
                <w:szCs w:val="18"/>
                <w:shd w:val="clear" w:color="auto" w:fill="FFFFFF"/>
              </w:rPr>
              <w:t>K72G4P</w:t>
            </w:r>
            <w:bookmarkEnd w:id="1"/>
          </w:p>
        </w:tc>
      </w:tr>
      <w:tr w:rsidR="007D726E" w:rsidRPr="00A56959" w14:paraId="74459322" w14:textId="77777777" w:rsidTr="00D455D6">
        <w:trPr>
          <w:trHeight w:val="253"/>
        </w:trPr>
        <w:tc>
          <w:tcPr>
            <w:tcW w:w="421" w:type="dxa"/>
            <w:shd w:val="clear" w:color="auto" w:fill="auto"/>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shd w:val="clear" w:color="auto" w:fill="auto"/>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3AD50398" w14:textId="1DB7DEDA" w:rsidR="007D726E" w:rsidRPr="00A56959" w:rsidRDefault="00BB2E73" w:rsidP="008B4E20">
            <w:pPr>
              <w:jc w:val="center"/>
              <w:rPr>
                <w:rFonts w:cstheme="minorHAnsi"/>
                <w:sz w:val="18"/>
                <w:szCs w:val="20"/>
              </w:rPr>
            </w:pPr>
            <w:r>
              <w:rPr>
                <w:rFonts w:cstheme="minorHAnsi"/>
                <w:color w:val="FF0000"/>
                <w:sz w:val="18"/>
                <w:szCs w:val="20"/>
              </w:rPr>
              <w:t>10/03</w:t>
            </w:r>
            <w:r w:rsidR="007D726E">
              <w:rPr>
                <w:rFonts w:cstheme="minorHAnsi"/>
                <w:color w:val="FF0000"/>
                <w:sz w:val="18"/>
                <w:szCs w:val="20"/>
              </w:rPr>
              <w:t>/2025</w:t>
            </w:r>
          </w:p>
        </w:tc>
        <w:tc>
          <w:tcPr>
            <w:tcW w:w="3566" w:type="dxa"/>
            <w:shd w:val="clear" w:color="auto" w:fill="auto"/>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D8CE64A"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w:t>
      </w:r>
      <w:r w:rsidR="00D455D6">
        <w:rPr>
          <w:rFonts w:cstheme="minorHAnsi"/>
        </w:rPr>
        <w:t>el ítem</w:t>
      </w:r>
      <w:r w:rsidR="00F37611" w:rsidRPr="00710F07">
        <w:rPr>
          <w:rFonts w:cstheme="minorHAnsi"/>
        </w:rPr>
        <w:t xml:space="preserve"> entregado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2D576DDA"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D455D6">
        <w:rPr>
          <w:rFonts w:cstheme="minorHAnsi"/>
        </w:rPr>
        <w:t>8</w:t>
      </w:r>
      <w:r w:rsidRPr="00710F07">
        <w:rPr>
          <w:rFonts w:cstheme="minorHAnsi"/>
        </w:rPr>
        <w:t xml:space="preserve"> Unidad de Compras o vía correo electrónico a la dirección </w:t>
      </w:r>
      <w:hyperlink r:id="rId10" w:history="1">
        <w:r w:rsidR="00BB2E73" w:rsidRPr="00CE10C7">
          <w:rPr>
            <w:rStyle w:val="Hipervnculo"/>
            <w:rFonts w:cstheme="minorHAnsi"/>
          </w:rPr>
          <w:t>claudia.dominguez@csbp.com.bo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79D6BD2A" w:rsidR="001F086A" w:rsidRPr="00A56959" w:rsidRDefault="00583F74" w:rsidP="00417F56">
      <w:pPr>
        <w:rPr>
          <w:rFonts w:cstheme="minorHAnsi"/>
          <w:sz w:val="20"/>
          <w:szCs w:val="20"/>
        </w:rPr>
      </w:pPr>
      <w:r w:rsidRPr="00A56959">
        <w:rPr>
          <w:rFonts w:cstheme="minorHAnsi"/>
          <w:sz w:val="20"/>
          <w:szCs w:val="20"/>
        </w:rPr>
        <w:t xml:space="preserve">Santa Cruz </w:t>
      </w:r>
      <w:r w:rsidR="00BB2E73">
        <w:rPr>
          <w:rFonts w:cstheme="minorHAnsi"/>
          <w:sz w:val="20"/>
          <w:szCs w:val="20"/>
        </w:rPr>
        <w:t>25</w:t>
      </w:r>
      <w:r w:rsidR="007D726E">
        <w:rPr>
          <w:rFonts w:cstheme="minorHAnsi"/>
          <w:sz w:val="20"/>
          <w:szCs w:val="20"/>
        </w:rPr>
        <w:t xml:space="preserve"> de</w:t>
      </w:r>
      <w:r w:rsidR="00D455D6">
        <w:rPr>
          <w:rFonts w:cstheme="minorHAnsi"/>
          <w:sz w:val="20"/>
          <w:szCs w:val="20"/>
        </w:rPr>
        <w:t xml:space="preserve"> febre</w:t>
      </w:r>
      <w:r w:rsidR="007D726E">
        <w:rPr>
          <w:rFonts w:cstheme="minorHAnsi"/>
          <w:sz w:val="20"/>
          <w:szCs w:val="20"/>
        </w:rPr>
        <w:t>ro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B4586"/>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F05A0"/>
    <w:rsid w:val="004F0C84"/>
    <w:rsid w:val="00546C8C"/>
    <w:rsid w:val="00564C61"/>
    <w:rsid w:val="005651B6"/>
    <w:rsid w:val="00574EFB"/>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0F07"/>
    <w:rsid w:val="00712E7A"/>
    <w:rsid w:val="007150F3"/>
    <w:rsid w:val="00715699"/>
    <w:rsid w:val="00743D1A"/>
    <w:rsid w:val="0075769D"/>
    <w:rsid w:val="00784F87"/>
    <w:rsid w:val="007A305F"/>
    <w:rsid w:val="007B0812"/>
    <w:rsid w:val="007C5234"/>
    <w:rsid w:val="007D17B9"/>
    <w:rsid w:val="007D726E"/>
    <w:rsid w:val="007D7CD4"/>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C4B34"/>
    <w:rsid w:val="009F0BF8"/>
    <w:rsid w:val="009F0D1C"/>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B2E73"/>
    <w:rsid w:val="00BC66DF"/>
    <w:rsid w:val="00BD5F6D"/>
    <w:rsid w:val="00BF75D3"/>
    <w:rsid w:val="00C1197E"/>
    <w:rsid w:val="00C17C49"/>
    <w:rsid w:val="00C605D2"/>
    <w:rsid w:val="00C733E7"/>
    <w:rsid w:val="00C76735"/>
    <w:rsid w:val="00C85197"/>
    <w:rsid w:val="00CA1C1C"/>
    <w:rsid w:val="00CA7415"/>
    <w:rsid w:val="00CC2B37"/>
    <w:rsid w:val="00CE2C6D"/>
    <w:rsid w:val="00CF18CB"/>
    <w:rsid w:val="00D44D4B"/>
    <w:rsid w:val="00D455D6"/>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B3807"/>
    <w:rsid w:val="00ED0036"/>
    <w:rsid w:val="00ED7BA0"/>
    <w:rsid w:val="00EE0767"/>
    <w:rsid w:val="00EE19D9"/>
    <w:rsid w:val="00EE3D27"/>
    <w:rsid w:val="00EE7B1F"/>
    <w:rsid w:val="00EF5B58"/>
    <w:rsid w:val="00F111B8"/>
    <w:rsid w:val="00F37611"/>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laudia.dominguez@csbp.com.bo" TargetMode="External"/><Relationship Id="rId4" Type="http://schemas.openxmlformats.org/officeDocument/2006/relationships/webSettings" Target="webSettings.xml"/><Relationship Id="rId9" Type="http://schemas.openxmlformats.org/officeDocument/2006/relationships/hyperlink" Target="https://us04web.zoom.us/j/77004766557?pwd=l0OWMDbcWuGFLzMDTbfHkqu99jIhQ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731</Words>
  <Characters>4021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19</cp:revision>
  <cp:lastPrinted>2025-02-20T18:38:00Z</cp:lastPrinted>
  <dcterms:created xsi:type="dcterms:W3CDTF">2024-04-01T20:06:00Z</dcterms:created>
  <dcterms:modified xsi:type="dcterms:W3CDTF">2025-02-20T18:38:00Z</dcterms:modified>
</cp:coreProperties>
</file>