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44755EC3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1F60C8">
              <w:rPr>
                <w:b/>
              </w:rPr>
              <w:t>20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49586AD7" w14:textId="0672D455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1F60C8">
        <w:rPr>
          <w:b/>
        </w:rPr>
        <w:t>UNIFORMES PARA PERSONAL ADMINISTRATIVOS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48B51886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316A54">
        <w:rPr>
          <w:b/>
        </w:rPr>
        <w:t xml:space="preserve"> </w:t>
      </w:r>
      <w:r w:rsidR="001F60C8">
        <w:rPr>
          <w:b/>
        </w:rPr>
        <w:t>UNIFORMES PERSONAL ADMINISTRATIVOS</w:t>
      </w:r>
      <w:r w:rsidR="00154E4B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7DCA18E3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6E0F98">
        <w:rPr>
          <w:b/>
        </w:rPr>
        <w:t>M</w:t>
      </w:r>
      <w:r w:rsidR="001F60C8">
        <w:rPr>
          <w:b/>
        </w:rPr>
        <w:t>artes 19</w:t>
      </w:r>
      <w:r w:rsidR="0045576E">
        <w:rPr>
          <w:b/>
        </w:rPr>
        <w:t xml:space="preserve"> de abril</w:t>
      </w:r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>, de forma digital mediante correo electrónico</w:t>
      </w:r>
      <w:r w:rsidR="00CD4717">
        <w:t xml:space="preserve">: </w:t>
      </w:r>
      <w:hyperlink r:id="rId6" w:history="1">
        <w:r w:rsidR="001F60C8" w:rsidRPr="005702C8">
          <w:rPr>
            <w:rStyle w:val="Hipervnculo"/>
          </w:rPr>
          <w:t>claudia.dominguez@csbp.com.bo</w:t>
        </w:r>
      </w:hyperlink>
      <w:r w:rsidR="001F60C8">
        <w:t xml:space="preserve">; 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5936DEA8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1F60C8">
        <w:rPr>
          <w:rFonts w:cs="Arial"/>
          <w:b/>
        </w:rPr>
        <w:t>UNIFORMES PARA PERSONAL ADMINISTRATIVOS</w:t>
      </w:r>
      <w:r w:rsidR="00154E4B">
        <w:rPr>
          <w:rFonts w:cs="Arial"/>
          <w:b/>
        </w:rPr>
        <w:t xml:space="preserve"> -</w:t>
      </w:r>
      <w:r w:rsidR="00E07951">
        <w:rPr>
          <w:rFonts w:cs="Arial"/>
          <w:b/>
        </w:rPr>
        <w:t xml:space="preserve">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7BA3F539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1F60C8">
        <w:rPr>
          <w:rFonts w:cs="Arial"/>
          <w:b/>
        </w:rPr>
        <w:t>20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28EAF7E6" w:rsidR="004271A1" w:rsidRPr="001F60C8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por </w:t>
      </w:r>
      <w:r w:rsidR="00154E4B">
        <w:rPr>
          <w:rFonts w:cs="Arial"/>
        </w:rPr>
        <w:t>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9350340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3921CF7B" w14:textId="61CAA024" w:rsidR="001F60C8" w:rsidRPr="001F60C8" w:rsidRDefault="001F60C8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 </w:t>
      </w:r>
      <w:r>
        <w:rPr>
          <w:rFonts w:cs="Arial"/>
        </w:rPr>
        <w:t xml:space="preserve">El tiempo de entrega no podrá superar  a los 30 días calendarios a partir de la conclusión de toma de medidas. </w:t>
      </w:r>
    </w:p>
    <w:p w14:paraId="66C628D5" w14:textId="77777777" w:rsidR="001F60C8" w:rsidRPr="001F60C8" w:rsidRDefault="001F60C8" w:rsidP="001F60C8">
      <w:pPr>
        <w:pStyle w:val="Prrafodelista"/>
        <w:rPr>
          <w:rFonts w:cs="Arial"/>
          <w:sz w:val="10"/>
          <w:szCs w:val="10"/>
        </w:rPr>
      </w:pPr>
    </w:p>
    <w:p w14:paraId="356E6284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79C273C9" w14:textId="77777777" w:rsidR="001F60C8" w:rsidRPr="001E168F" w:rsidRDefault="001F60C8" w:rsidP="001F60C8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Se suscribirá contrato con el proponente adjudicado, cuando el importe de adjudicación sea  igual o mayor a Bs. 50.000.</w:t>
      </w:r>
    </w:p>
    <w:p w14:paraId="33E0F030" w14:textId="64FF51E2" w:rsidR="001F60C8" w:rsidRDefault="001F60C8" w:rsidP="001F60C8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14:paraId="31F524B8" w14:textId="77777777" w:rsidR="001F60C8" w:rsidRDefault="001F60C8" w:rsidP="001F60C8">
      <w:pPr>
        <w:pStyle w:val="Prrafodelista"/>
        <w:ind w:left="426"/>
        <w:rPr>
          <w:rFonts w:cs="Arial"/>
        </w:rPr>
      </w:pPr>
    </w:p>
    <w:p w14:paraId="576B392D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14:paraId="477D6816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14:paraId="310EEDAF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14:paraId="24C11650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14:paraId="1E81B655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14:paraId="713CA85A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14:paraId="3F137DDB" w14:textId="77777777" w:rsidR="001F60C8" w:rsidRPr="00A77F69" w:rsidRDefault="001F60C8" w:rsidP="001F60C8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69D00975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14:paraId="6D07B19B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14:paraId="5B357AEC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14:paraId="2DB99411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lastRenderedPageBreak/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14:paraId="43720BF8" w14:textId="77777777" w:rsidR="001F60C8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Matricula de Comercio</w:t>
      </w:r>
      <w:r w:rsidRPr="00B81257">
        <w:rPr>
          <w:rFonts w:cs="Arial"/>
        </w:rPr>
        <w:t xml:space="preserve"> (Actualizado)</w:t>
      </w:r>
    </w:p>
    <w:p w14:paraId="094200FD" w14:textId="77777777" w:rsidR="001F60C8" w:rsidRPr="00154E4B" w:rsidRDefault="001F60C8" w:rsidP="001F60C8">
      <w:pPr>
        <w:pStyle w:val="Prrafodelista"/>
        <w:ind w:left="993"/>
        <w:rPr>
          <w:rFonts w:cs="Arial"/>
          <w:sz w:val="14"/>
          <w:szCs w:val="14"/>
        </w:rPr>
      </w:pPr>
    </w:p>
    <w:p w14:paraId="442C9FDC" w14:textId="77777777" w:rsidR="001F60C8" w:rsidRPr="002C492A" w:rsidRDefault="001F60C8" w:rsidP="001F60C8">
      <w:pPr>
        <w:rPr>
          <w:rFonts w:cs="Arial"/>
          <w:b/>
          <w:i/>
        </w:rPr>
      </w:pPr>
      <w:r w:rsidRPr="002C492A">
        <w:rPr>
          <w:rFonts w:cs="Arial"/>
          <w:b/>
          <w:i/>
        </w:rPr>
        <w:t xml:space="preserve">Nota.- Los documentos serán autentificados por la unidad legal de la CSBP. Los originales serán devueltos al proveedor inmediatamente, quedando la copia autentificada en los archivos del proceso. </w:t>
      </w:r>
    </w:p>
    <w:p w14:paraId="3EEBDE78" w14:textId="77777777" w:rsidR="001F60C8" w:rsidRPr="002F5AAC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45430FD2" w14:textId="77777777" w:rsidR="002F5AAC" w:rsidRPr="00AE0474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283BF4DA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45576E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50C93EB4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r w:rsidR="0045576E">
        <w:t>Abril</w:t>
      </w:r>
      <w:r w:rsidR="00B049D0">
        <w:t xml:space="preserve"> de 2023</w:t>
      </w:r>
    </w:p>
    <w:sectPr w:rsidR="00C71711" w:rsidSect="006E0F98">
      <w:pgSz w:w="12240" w:h="18720" w:code="14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2046711734">
    <w:abstractNumId w:val="4"/>
  </w:num>
  <w:num w:numId="2" w16cid:durableId="901675137">
    <w:abstractNumId w:val="6"/>
  </w:num>
  <w:num w:numId="3" w16cid:durableId="1018504844">
    <w:abstractNumId w:val="3"/>
  </w:num>
  <w:num w:numId="4" w16cid:durableId="643899025">
    <w:abstractNumId w:val="7"/>
  </w:num>
  <w:num w:numId="5" w16cid:durableId="183061929">
    <w:abstractNumId w:val="0"/>
  </w:num>
  <w:num w:numId="6" w16cid:durableId="1860653977">
    <w:abstractNumId w:val="2"/>
  </w:num>
  <w:num w:numId="7" w16cid:durableId="1051805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4034573">
    <w:abstractNumId w:val="5"/>
  </w:num>
  <w:num w:numId="9" w16cid:durableId="1738438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63498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758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1F60C8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576E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0F98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F60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2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</cp:revision>
  <cp:lastPrinted>2023-04-12T17:42:00Z</cp:lastPrinted>
  <dcterms:created xsi:type="dcterms:W3CDTF">2023-03-15T17:36:00Z</dcterms:created>
  <dcterms:modified xsi:type="dcterms:W3CDTF">2023-04-12T17:42:00Z</dcterms:modified>
</cp:coreProperties>
</file>