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B7E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</w:t>
            </w:r>
            <w:r w:rsidR="00B35228">
              <w:rPr>
                <w:b/>
              </w:rPr>
              <w:t>2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B35228">
        <w:rPr>
          <w:b/>
        </w:rPr>
        <w:t>MEDIAMENTO</w:t>
      </w:r>
      <w:r w:rsidR="006F1952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B35228">
        <w:rPr>
          <w:b/>
        </w:rPr>
        <w:t>MEDICAMENTO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14:00 pm, del día </w:t>
      </w:r>
      <w:r w:rsidR="00EB7E21" w:rsidRPr="00B35228">
        <w:rPr>
          <w:b/>
        </w:rPr>
        <w:t>m</w:t>
      </w:r>
      <w:r w:rsidR="00B35228" w:rsidRPr="00B35228">
        <w:rPr>
          <w:b/>
        </w:rPr>
        <w:t>art</w:t>
      </w:r>
      <w:r w:rsidR="00EB7E21" w:rsidRPr="00B35228">
        <w:rPr>
          <w:b/>
        </w:rPr>
        <w:t xml:space="preserve">es </w:t>
      </w:r>
      <w:r w:rsidR="00B35228" w:rsidRPr="00B35228">
        <w:rPr>
          <w:b/>
        </w:rPr>
        <w:t>15</w:t>
      </w:r>
      <w:r w:rsidR="00EB7E21" w:rsidRPr="00B35228">
        <w:rPr>
          <w:b/>
        </w:rPr>
        <w:t xml:space="preserve"> de </w:t>
      </w:r>
      <w:r w:rsidR="00B35228" w:rsidRPr="00B35228">
        <w:rPr>
          <w:b/>
        </w:rPr>
        <w:t>febrero</w:t>
      </w:r>
      <w:r w:rsidR="00EB7E21" w:rsidRPr="00B35228">
        <w:rPr>
          <w:b/>
        </w:rPr>
        <w:t xml:space="preserve"> del 2022</w:t>
      </w:r>
      <w:r w:rsidR="00EB7E21">
        <w:t>, de forma digital mediante correo electrónico 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B35228">
        <w:rPr>
          <w:rFonts w:cs="Arial"/>
          <w:b/>
        </w:rPr>
        <w:t>MEDICAMENTO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B35228">
        <w:rPr>
          <w:rFonts w:cs="Arial"/>
          <w:b/>
        </w:rPr>
        <w:t>2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bookmarkStart w:id="0" w:name="_GoBack"/>
      <w:bookmarkEnd w:id="0"/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Menor Costo: Se </w:t>
      </w:r>
      <w:r w:rsidRPr="00B35228">
        <w:rPr>
          <w:rFonts w:cs="Arial"/>
        </w:rPr>
        <w:t>evaluará</w:t>
      </w:r>
      <w:r w:rsidRPr="00B35228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0731ED" w:rsidRDefault="007B35B2" w:rsidP="007B35B2">
      <w:pPr>
        <w:pStyle w:val="Prrafodelista"/>
        <w:ind w:left="786"/>
        <w:rPr>
          <w:rFonts w:ascii="Calibri" w:hAnsi="Calibri" w:cs="Arial"/>
          <w:b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4433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865534">
        <w:t>, Febrero</w:t>
      </w:r>
      <w:r w:rsidR="00CD1FFE">
        <w:t xml:space="preserve"> 2021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F419F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85</cp:revision>
  <cp:lastPrinted>2022-02-10T14:49:00Z</cp:lastPrinted>
  <dcterms:created xsi:type="dcterms:W3CDTF">2014-02-24T21:40:00Z</dcterms:created>
  <dcterms:modified xsi:type="dcterms:W3CDTF">2022-02-10T14:49:00Z</dcterms:modified>
</cp:coreProperties>
</file>